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1" w:name="tribunal-judicial-da-comarca-de-lisboa"/>
    <w:p>
      <w:pPr>
        <w:pStyle w:val="Heading1"/>
      </w:pPr>
      <w:r>
        <w:t xml:space="preserve">Tribunal Judicial da Comarca de Lisboa</w:t>
      </w:r>
    </w:p>
    <w:bookmarkStart w:id="9" w:name="ª-vara-cível"/>
    <w:p>
      <w:pPr>
        <w:pStyle w:val="Heading2"/>
      </w:pPr>
      <w:r>
        <w:t xml:space="preserve">2.ª Vara Cível</w:t>
      </w:r>
    </w:p>
    <w:p>
      <w:pPr>
        <w:pStyle w:val="FirstParagraph"/>
      </w:pPr>
      <w:r>
        <w:rPr>
          <w:b/>
          <w:bCs/>
        </w:rPr>
        <w:t xml:space="preserve">Processo n.º 1234/24.5T8LSB</w:t>
      </w:r>
    </w:p>
    <w:p>
      <w:pPr>
        <w:pStyle w:val="BodyText"/>
      </w:pPr>
      <w:r>
        <w:rPr>
          <w:b/>
          <w:bCs/>
        </w:rPr>
        <w:t xml:space="preserve">Requerente:</w:t>
      </w:r>
      <w:r>
        <w:t xml:space="preserve"> </w:t>
      </w:r>
      <w:r>
        <w:t xml:space="preserve">XYZ – Serviços de Tecnologia, Lda., NIF 504 123 456, com sede na Avenida da Liberdade, 45, 1250‑147 Lisboa.</w:t>
      </w:r>
    </w:p>
    <w:p>
      <w:pPr>
        <w:pStyle w:val="BodyText"/>
      </w:pPr>
      <w:r>
        <w:rPr>
          <w:b/>
          <w:bCs/>
        </w:rPr>
        <w:t xml:space="preserve">Réu:</w:t>
      </w:r>
      <w:r>
        <w:t xml:space="preserve"> </w:t>
      </w:r>
      <w:r>
        <w:t xml:space="preserve">ABC – Consultoria Empresarial, Lda., NIF 509 876 543, com sede na Rua de Santa Catarina, 220, 4000‑447 Porto.</w:t>
      </w:r>
    </w:p>
    <w:p>
      <w:pPr>
        <w:pStyle w:val="BodyText"/>
      </w:pPr>
      <w:r>
        <w:rPr>
          <w:b/>
          <w:bCs/>
        </w:rPr>
        <w:t xml:space="preserve">Mandatários:</w:t>
      </w:r>
      <w:r>
        <w:br/>
      </w:r>
      <w:r>
        <w:t xml:space="preserve">- Dr. João Silva, OAB/Lisboa 12 345, escritório na Rua das Flores, 12, 1200‑123 Lisboa;</w:t>
      </w:r>
      <w:r>
        <w:br/>
      </w:r>
      <w:r>
        <w:t xml:space="preserve">- Dra. Maria Fernandes, OAB/Porto 67 890, escritório na Avenida dos Aliados, 78, 4000‑123 Porto.</w:t>
      </w:r>
    </w:p>
    <w:p>
      <w:pPr>
        <w:pStyle w:val="BodyText"/>
      </w:pPr>
      <w:r>
        <w:rPr>
          <w:b/>
          <w:bCs/>
        </w:rPr>
        <w:t xml:space="preserve">Juiz:</w:t>
      </w:r>
      <w:r>
        <w:t xml:space="preserve"> </w:t>
      </w:r>
      <w:r>
        <w:t xml:space="preserve">Juiz da 2.ª Vara Cível do Tribunal Judicial da Comarca de Lisboa.</w:t>
      </w:r>
    </w:p>
    <w:p>
      <w:pPr>
        <w:pStyle w:val="BodyText"/>
      </w:pPr>
      <w:r>
        <w:t xml:space="preserve">Lisboa, 20 de maio de 2024</w:t>
      </w:r>
    </w:p>
    <w:p>
      <w:r>
        <w:pict>
          <v:rect style="width:0;height:1.5pt" o:hralign="center" o:hrstd="t" o:hr="t"/>
        </w:pict>
      </w:r>
    </w:p>
    <w:bookmarkEnd w:id="9"/>
    <w:bookmarkStart w:id="10" w:name="Xd23b7e4f0e05e414a03b8e3ec9bcb8a69ca89e0"/>
    <w:p>
      <w:pPr>
        <w:pStyle w:val="Heading2"/>
      </w:pPr>
      <w:r>
        <w:rPr>
          <w:b/>
          <w:bCs/>
        </w:rPr>
        <w:t xml:space="preserve">REQUERIMENTO DE EXECUÇÃO COERCIVA – PEDIDO DE PENHORA DE BENS</w:t>
      </w:r>
    </w:p>
    <w:p>
      <w:pPr>
        <w:pStyle w:val="FirstParagraph"/>
      </w:pPr>
      <w:r>
        <w:rPr>
          <w:b/>
          <w:bCs/>
        </w:rPr>
        <w:t xml:space="preserve">I – DOS FACTOS RELEVANTES</w:t>
      </w:r>
    </w:p>
    <w:p>
      <w:pPr>
        <w:numPr>
          <w:ilvl w:val="0"/>
          <w:numId w:val="1001"/>
        </w:numPr>
      </w:pPr>
      <w:r>
        <w:t xml:space="preserve">No dia 10 de janeiro de 2023, as partes celebraram</w:t>
      </w:r>
      <w:r>
        <w:t xml:space="preserve"> </w:t>
      </w:r>
      <w:r>
        <w:rPr>
          <w:b/>
          <w:bCs/>
        </w:rPr>
        <w:t xml:space="preserve">Contrato de Prestação de Serviços de Tecnologia</w:t>
      </w:r>
      <w:r>
        <w:t xml:space="preserve"> </w:t>
      </w:r>
      <w:r>
        <w:t xml:space="preserve">(processo n.º 1234/24.5T8LSB), pelo qual a XYZ – Serviços de Tecnologia, Lda. se obrigou a desenvolver e manter uma plataforma informática para a ABC – Consultoria Empresarial, Lda., mediante o pagamento total de € 250 000,00 (duzentos e cinquenta mil euros).</w:t>
      </w:r>
    </w:p>
    <w:p>
      <w:pPr>
        <w:numPr>
          <w:ilvl w:val="0"/>
          <w:numId w:val="1001"/>
        </w:numPr>
      </w:pPr>
      <w:r>
        <w:t xml:space="preserve">O contrato previa, entre outras cláusulas, a obrigação da ré de disponibilizar, de forma contínua e eficaz, os recursos humanos e técnicos necessários à execução dos serviços, bem como o pagamento de € 20 000,00 (vinte mil euros) por mês, a título de remuneração pelos serviços prestados.</w:t>
      </w:r>
    </w:p>
    <w:p>
      <w:pPr>
        <w:numPr>
          <w:ilvl w:val="0"/>
          <w:numId w:val="1001"/>
        </w:numPr>
      </w:pPr>
      <w:r>
        <w:t xml:space="preserve">A ré incumpriu gravemente as obrigações contratuais, deixando de disponibilizar o suporte técnico acordado desde 15 de março de 2024, o que acarretou a paralisação total da plataforma e prejuízos operacionais à requerente, quantificados em € 85 000,00 (oitenta e cinco mil euros).</w:t>
      </w:r>
    </w:p>
    <w:p>
      <w:pPr>
        <w:numPr>
          <w:ilvl w:val="0"/>
          <w:numId w:val="1001"/>
        </w:numPr>
      </w:pPr>
      <w:r>
        <w:t xml:space="preserve">Em sede de ação declarativa, o Juízo de 1.º grau, proferindo sentença de</w:t>
      </w:r>
      <w:r>
        <w:t xml:space="preserve"> </w:t>
      </w:r>
      <w:r>
        <w:rPr>
          <w:b/>
          <w:bCs/>
        </w:rPr>
        <w:t xml:space="preserve">resolução do contrato</w:t>
      </w:r>
      <w:r>
        <w:t xml:space="preserve"> </w:t>
      </w:r>
      <w:r>
        <w:t xml:space="preserve">e</w:t>
      </w:r>
      <w:r>
        <w:t xml:space="preserve"> </w:t>
      </w:r>
      <w:r>
        <w:rPr>
          <w:b/>
          <w:bCs/>
        </w:rPr>
        <w:t xml:space="preserve">condenação da ré ao pagamento de € 335 000,00</w:t>
      </w:r>
      <w:r>
        <w:t xml:space="preserve"> </w:t>
      </w:r>
      <w:r>
        <w:t xml:space="preserve">(valor da dívida principal, juros moratórios, indemnização por perdas e danos e devolução dos pagamentos antecipados), determinou a prática de todas as medidas executivas necessárias à satisfação da condenação (sentença de 12 de abril de 2024, publicada em 18 de abril de 2024).</w:t>
      </w:r>
    </w:p>
    <w:p>
      <w:pPr>
        <w:numPr>
          <w:ilvl w:val="0"/>
          <w:numId w:val="1001"/>
        </w:numPr>
      </w:pPr>
      <w:r>
        <w:t xml:space="preserve">Não havendo pagamento voluntário da quantia condenada, e não tendo sido localizada a ré para cumprimento amigável, a requerente vem, nos termos do</w:t>
      </w:r>
      <w:r>
        <w:t xml:space="preserve"> </w:t>
      </w:r>
      <w:r>
        <w:rPr>
          <w:b/>
          <w:bCs/>
        </w:rPr>
        <w:t xml:space="preserve">artigos 731.º a 751.º do Código de Processo Civil</w:t>
      </w:r>
      <w:r>
        <w:t xml:space="preserve">, requerer a prática de</w:t>
      </w:r>
      <w:r>
        <w:t xml:space="preserve"> </w:t>
      </w:r>
      <w:r>
        <w:rPr>
          <w:b/>
          <w:bCs/>
        </w:rPr>
        <w:t xml:space="preserve">penhora de bens</w:t>
      </w:r>
      <w:r>
        <w:t xml:space="preserve"> </w:t>
      </w:r>
      <w:r>
        <w:t xml:space="preserve">da ré, a fim de garantir a satisfação integral da dívida.</w:t>
      </w:r>
    </w:p>
    <w:p>
      <w:pPr>
        <w:pStyle w:val="FirstParagraph"/>
      </w:pPr>
      <w:r>
        <w:rPr>
          <w:b/>
          <w:bCs/>
        </w:rPr>
        <w:t xml:space="preserve">II – DO DIREITO</w:t>
      </w:r>
    </w:p>
    <w:p>
      <w:pPr>
        <w:numPr>
          <w:ilvl w:val="0"/>
          <w:numId w:val="1002"/>
        </w:numPr>
      </w:pPr>
      <w:r>
        <w:t xml:space="preserve">Nos termos do artigo</w:t>
      </w:r>
      <w:r>
        <w:t xml:space="preserve"> </w:t>
      </w:r>
      <w:r>
        <w:rPr>
          <w:b/>
          <w:bCs/>
        </w:rPr>
        <w:t xml:space="preserve">731.º, n.º 1</w:t>
      </w:r>
      <w:r>
        <w:t xml:space="preserve">, do CPC, a penhora constitui medida executiva de natureza coerciva, apta a assegurar a efetividade da decisão judicial.</w:t>
      </w:r>
    </w:p>
    <w:p>
      <w:pPr>
        <w:numPr>
          <w:ilvl w:val="0"/>
          <w:numId w:val="1002"/>
        </w:numPr>
      </w:pPr>
      <w:r>
        <w:t xml:space="preserve">O artigo</w:t>
      </w:r>
      <w:r>
        <w:t xml:space="preserve"> </w:t>
      </w:r>
      <w:r>
        <w:rPr>
          <w:b/>
          <w:bCs/>
        </w:rPr>
        <w:t xml:space="preserve">734.º</w:t>
      </w:r>
      <w:r>
        <w:t xml:space="preserve"> </w:t>
      </w:r>
      <w:r>
        <w:t xml:space="preserve">autoriza a penhora de bens móveis, imóveis, direitos e valores, devendo ser observada a ordem legal de preferência, começando pelos bens de maior liquidez.</w:t>
      </w:r>
    </w:p>
    <w:p>
      <w:pPr>
        <w:numPr>
          <w:ilvl w:val="0"/>
          <w:numId w:val="1002"/>
        </w:numPr>
      </w:pPr>
      <w:r>
        <w:t xml:space="preserve">O artigo</w:t>
      </w:r>
      <w:r>
        <w:t xml:space="preserve"> </w:t>
      </w:r>
      <w:r>
        <w:rPr>
          <w:b/>
          <w:bCs/>
        </w:rPr>
        <w:t xml:space="preserve">746.º</w:t>
      </w:r>
      <w:r>
        <w:t xml:space="preserve"> </w:t>
      </w:r>
      <w:r>
        <w:t xml:space="preserve">estabelece que, ausente a localização dos bens, o requerente pode indicar, com base em informações de boa-fé, os bens que presumidamente pertencem ao devedor, devendo o tribunal ordenar a sua apreensão e avaliação.</w:t>
      </w:r>
    </w:p>
    <w:p>
      <w:pPr>
        <w:pStyle w:val="FirstParagraph"/>
      </w:pPr>
      <w:r>
        <w:rPr>
          <w:b/>
          <w:bCs/>
        </w:rPr>
        <w:t xml:space="preserve">III – DOS BENS A PENHORAR</w:t>
      </w:r>
    </w:p>
    <w:p>
      <w:pPr>
        <w:pStyle w:val="BodyText"/>
      </w:pPr>
      <w:r>
        <w:t xml:space="preserve">A requerente indica, como bens suscetíveis de penhora, os que a seguir se descrevem, com os respetivos valores estimados, nos termos da legislação aplicável: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524"/>
        <w:gridCol w:w="1831"/>
        <w:gridCol w:w="1039"/>
        <w:gridCol w:w="1188"/>
        <w:gridCol w:w="1336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Descrição do Bem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Localização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Tipo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Valor Estimado (€)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Identificação/Registo</w:t>
            </w:r>
          </w:p>
        </w:tc>
      </w:tr>
      <w:tr>
        <w:tc>
          <w:tcPr/>
          <w:p>
            <w:pPr>
              <w:pStyle w:val="Compact"/>
            </w:pPr>
            <w:r>
              <w:t xml:space="preserve">Edifício comercial – Loja nº 12, Rua da Boavista</w:t>
            </w:r>
          </w:p>
        </w:tc>
        <w:tc>
          <w:tcPr/>
          <w:p>
            <w:pPr>
              <w:pStyle w:val="Compact"/>
            </w:pPr>
            <w:r>
              <w:t xml:space="preserve">Porto, 4000‑123</w:t>
            </w:r>
          </w:p>
        </w:tc>
        <w:tc>
          <w:tcPr/>
          <w:p>
            <w:pPr>
              <w:pStyle w:val="Compact"/>
            </w:pPr>
            <w:r>
              <w:t xml:space="preserve">Imóvel urbano</w:t>
            </w:r>
          </w:p>
        </w:tc>
        <w:tc>
          <w:tcPr/>
          <w:p>
            <w:pPr>
              <w:pStyle w:val="Compact"/>
            </w:pPr>
            <w:r>
              <w:t xml:space="preserve">350 000,00</w:t>
            </w:r>
          </w:p>
        </w:tc>
        <w:tc>
          <w:tcPr/>
          <w:p>
            <w:pPr>
              <w:pStyle w:val="Compact"/>
            </w:pPr>
            <w:r>
              <w:t xml:space="preserve">Matricula n.º 12345/2022</w:t>
            </w:r>
          </w:p>
        </w:tc>
      </w:tr>
      <w:tr>
        <w:tc>
          <w:tcPr/>
          <w:p>
            <w:pPr>
              <w:pStyle w:val="Compact"/>
            </w:pPr>
            <w:r>
              <w:t xml:space="preserve">Veículo – Volkswagen Golf, matrícula 45‑AA‑78</w:t>
            </w:r>
          </w:p>
        </w:tc>
        <w:tc>
          <w:tcPr/>
          <w:p>
            <w:pPr>
              <w:pStyle w:val="Compact"/>
            </w:pPr>
            <w:r>
              <w:t xml:space="preserve">Lisboa, 1200‑456</w:t>
            </w:r>
          </w:p>
        </w:tc>
        <w:tc>
          <w:tcPr/>
          <w:p>
            <w:pPr>
              <w:pStyle w:val="Compact"/>
            </w:pPr>
            <w:r>
              <w:t xml:space="preserve">Veículo automóvel</w:t>
            </w:r>
          </w:p>
        </w:tc>
        <w:tc>
          <w:tcPr/>
          <w:p>
            <w:pPr>
              <w:pStyle w:val="Compact"/>
            </w:pPr>
            <w:r>
              <w:t xml:space="preserve">22 000,00</w:t>
            </w:r>
          </w:p>
        </w:tc>
        <w:tc>
          <w:tcPr/>
          <w:p>
            <w:pPr>
              <w:pStyle w:val="Compact"/>
            </w:pPr>
            <w:r>
              <w:t xml:space="preserve">Registo n.º 987654321</w:t>
            </w:r>
          </w:p>
        </w:tc>
      </w:tr>
      <w:tr>
        <w:tc>
          <w:tcPr/>
          <w:p>
            <w:pPr>
              <w:pStyle w:val="Compact"/>
            </w:pPr>
            <w:r>
              <w:t xml:space="preserve">Conta bancária – Banco BPI, NIB 0034 1234 5678 9012 3456</w:t>
            </w:r>
          </w:p>
        </w:tc>
        <w:tc>
          <w:tcPr/>
          <w:p>
            <w:pPr>
              <w:pStyle w:val="Compact"/>
            </w:pPr>
            <w:r>
              <w:t xml:space="preserve">Banco BPI, Lisboa</w:t>
            </w:r>
          </w:p>
        </w:tc>
        <w:tc>
          <w:tcPr/>
          <w:p>
            <w:pPr>
              <w:pStyle w:val="Compact"/>
            </w:pPr>
            <w:r>
              <w:t xml:space="preserve">Valores bancários</w:t>
            </w:r>
          </w:p>
        </w:tc>
        <w:tc>
          <w:tcPr/>
          <w:p>
            <w:pPr>
              <w:pStyle w:val="Compact"/>
            </w:pPr>
            <w:r>
              <w:t xml:space="preserve">80 000,00</w:t>
            </w:r>
          </w:p>
        </w:tc>
        <w:tc>
          <w:tcPr/>
          <w:p>
            <w:pPr>
              <w:pStyle w:val="Compact"/>
            </w:pPr>
            <w:r>
              <w:t xml:space="preserve">IBAN: PT50 0034 1234 5678 9012 3456</w:t>
            </w:r>
          </w:p>
        </w:tc>
      </w:tr>
      <w:tr>
        <w:tc>
          <w:tcPr/>
          <w:p>
            <w:pPr>
              <w:pStyle w:val="Compact"/>
            </w:pPr>
            <w:r>
              <w:t xml:space="preserve">Direitos de crédito – Factura nº 2024/015/ABC</w:t>
            </w:r>
          </w:p>
        </w:tc>
        <w:tc>
          <w:tcPr/>
          <w:p>
            <w:pPr>
              <w:pStyle w:val="Compact"/>
            </w:pPr>
            <w:r>
              <w:t xml:space="preserve">Porto</w:t>
            </w:r>
          </w:p>
        </w:tc>
        <w:tc>
          <w:tcPr/>
          <w:p>
            <w:pPr>
              <w:pStyle w:val="Compact"/>
            </w:pPr>
            <w:r>
              <w:t xml:space="preserve">Direitos de crédito</w:t>
            </w:r>
          </w:p>
        </w:tc>
        <w:tc>
          <w:tcPr/>
          <w:p>
            <w:pPr>
              <w:pStyle w:val="Compact"/>
            </w:pPr>
            <w:r>
              <w:t xml:space="preserve">30 000,00</w:t>
            </w:r>
          </w:p>
        </w:tc>
        <w:tc>
          <w:tcPr/>
          <w:p>
            <w:pPr>
              <w:pStyle w:val="Compact"/>
            </w:pPr>
            <w:r>
              <w:t xml:space="preserve">Nº de processo 2024/015</w:t>
            </w:r>
          </w:p>
        </w:tc>
      </w:tr>
      <w:tr>
        <w:tc>
          <w:tcPr/>
          <w:p>
            <w:pPr>
              <w:pStyle w:val="Compact"/>
            </w:pPr>
            <w:r>
              <w:t xml:space="preserve">Equipamento informático – Servidores (3 unidades)</w:t>
            </w:r>
          </w:p>
        </w:tc>
        <w:tc>
          <w:tcPr/>
          <w:p>
            <w:pPr>
              <w:pStyle w:val="Compact"/>
            </w:pPr>
            <w:r>
              <w:t xml:space="preserve">Sede da ré, Rua de Santa Catarina, 220</w:t>
            </w:r>
          </w:p>
        </w:tc>
        <w:tc>
          <w:tcPr/>
          <w:p>
            <w:pPr>
              <w:pStyle w:val="Compact"/>
            </w:pPr>
            <w:r>
              <w:t xml:space="preserve">Bens móveis</w:t>
            </w:r>
          </w:p>
        </w:tc>
        <w:tc>
          <w:tcPr/>
          <w:p>
            <w:pPr>
              <w:pStyle w:val="Compact"/>
            </w:pPr>
            <w:r>
              <w:t xml:space="preserve">45 000,00</w:t>
            </w:r>
          </w:p>
        </w:tc>
        <w:tc>
          <w:tcPr/>
          <w:p>
            <w:pPr>
              <w:pStyle w:val="Compact"/>
            </w:pPr>
            <w:r>
              <w:t xml:space="preserve">Nº de série 2023‑SVR‑001</w:t>
            </w:r>
          </w:p>
        </w:tc>
      </w:tr>
    </w:tbl>
    <w:p>
      <w:pPr>
        <w:pStyle w:val="BodyText"/>
      </w:pPr>
      <w:r>
        <w:rPr>
          <w:b/>
          <w:bCs/>
        </w:rPr>
        <w:t xml:space="preserve">Valor total dos bens indicados:</w:t>
      </w:r>
      <w:r>
        <w:t xml:space="preserve"> </w:t>
      </w:r>
      <w:r>
        <w:t xml:space="preserve">€ 527 000,00 (quinhentos e vinte e sete mil euros), superior ao montante da dívida, permitindo a cobertura integral da condenação, inclusive custas e honorários.</w:t>
      </w:r>
    </w:p>
    <w:p>
      <w:pPr>
        <w:pStyle w:val="BodyText"/>
      </w:pPr>
      <w:r>
        <w:rPr>
          <w:b/>
          <w:bCs/>
        </w:rPr>
        <w:t xml:space="preserve">IV – DO PEDIDO</w:t>
      </w:r>
    </w:p>
    <w:p>
      <w:pPr>
        <w:pStyle w:val="BodyText"/>
      </w:pPr>
      <w:r>
        <w:t xml:space="preserve">Nestes termos, requer a V. Exa.:</w:t>
      </w:r>
    </w:p>
    <w:p>
      <w:pPr>
        <w:numPr>
          <w:ilvl w:val="0"/>
          <w:numId w:val="1003"/>
        </w:numPr>
      </w:pPr>
      <w:r>
        <w:rPr>
          <w:b/>
          <w:bCs/>
        </w:rPr>
        <w:t xml:space="preserve">A prática de penhora</w:t>
      </w:r>
      <w:r>
        <w:t xml:space="preserve"> </w:t>
      </w:r>
      <w:r>
        <w:t xml:space="preserve">sobre os bens acima descritos, nos termos do artigo 731.º do CPC, autorizando a sua apreensão, avaliação e posterior alienação, nos termos dos artigos 749.º e 750.º do CPC;</w:t>
      </w:r>
    </w:p>
    <w:p>
      <w:pPr>
        <w:numPr>
          <w:ilvl w:val="0"/>
          <w:numId w:val="1003"/>
        </w:numPr>
      </w:pPr>
      <w:r>
        <w:rPr>
          <w:b/>
          <w:bCs/>
        </w:rPr>
        <w:t xml:space="preserve">A intimação da ré</w:t>
      </w:r>
      <w:r>
        <w:t xml:space="preserve">, ABC – Consultoria Empresarial, Lda., para que, no prazo legal de 15 dias, indique bens próprios que possam ser objeto de penhora, sob pena de se proceder à penhora dos bens indicados pela requerente;</w:t>
      </w:r>
    </w:p>
    <w:p>
      <w:pPr>
        <w:numPr>
          <w:ilvl w:val="0"/>
          <w:numId w:val="1003"/>
        </w:numPr>
      </w:pPr>
      <w:r>
        <w:rPr>
          <w:b/>
          <w:bCs/>
        </w:rPr>
        <w:t xml:space="preserve">A nomeação de perito</w:t>
      </w:r>
      <w:r>
        <w:t xml:space="preserve"> </w:t>
      </w:r>
      <w:r>
        <w:t xml:space="preserve">para a avaliação dos bens penhorados, nos termos do artigo 748.º do CPC, com a fixação de honorários a cargo da ré;</w:t>
      </w:r>
    </w:p>
    <w:p>
      <w:pPr>
        <w:numPr>
          <w:ilvl w:val="0"/>
          <w:numId w:val="1003"/>
        </w:numPr>
      </w:pPr>
      <w:r>
        <w:rPr>
          <w:b/>
          <w:bCs/>
        </w:rPr>
        <w:t xml:space="preserve">A expedição de mandado de penhora</w:t>
      </w:r>
      <w:r>
        <w:t xml:space="preserve"> </w:t>
      </w:r>
      <w:r>
        <w:t xml:space="preserve">a todos os órgãos competentes (Registo Predial, Conservatória do Registo Automóvel, Banco BPI, etc.) para que procedam à anotação da penhora nos registos respectivos;</w:t>
      </w:r>
    </w:p>
    <w:p>
      <w:pPr>
        <w:numPr>
          <w:ilvl w:val="0"/>
          <w:numId w:val="1003"/>
        </w:numPr>
      </w:pPr>
      <w:r>
        <w:rPr>
          <w:b/>
          <w:bCs/>
        </w:rPr>
        <w:t xml:space="preserve">A condenação da ré</w:t>
      </w:r>
      <w:r>
        <w:t xml:space="preserve"> </w:t>
      </w:r>
      <w:r>
        <w:t xml:space="preserve">ao pagamento das custas processuais e dos honorários de advogado, nos termos do artigo 84.º do CPC, a quantia de € 5 000,00 (cinco mil euros), estimada em sede de liquidação de sentença;</w:t>
      </w:r>
    </w:p>
    <w:p>
      <w:pPr>
        <w:numPr>
          <w:ilvl w:val="0"/>
          <w:numId w:val="1003"/>
        </w:numPr>
      </w:pPr>
      <w:r>
        <w:rPr>
          <w:b/>
          <w:bCs/>
        </w:rPr>
        <w:t xml:space="preserve">A concessão de todos os demais meios executivos</w:t>
      </w:r>
      <w:r>
        <w:t xml:space="preserve"> </w:t>
      </w:r>
      <w:r>
        <w:t xml:space="preserve">que o tribunal entender adequados para a satisfação integral da condenação.</w:t>
      </w:r>
    </w:p>
    <w:p>
      <w:pPr>
        <w:pStyle w:val="FirstParagraph"/>
      </w:pPr>
      <w:r>
        <w:rPr>
          <w:b/>
          <w:bCs/>
        </w:rPr>
        <w:t xml:space="preserve">V – DAS PROVAS</w:t>
      </w:r>
    </w:p>
    <w:p>
      <w:pPr>
        <w:pStyle w:val="BodyText"/>
      </w:pPr>
      <w:r>
        <w:t xml:space="preserve">A requerente protesta provar o alegado por todos os meios de prova admitidos em direito, designadamente:</w:t>
      </w:r>
    </w:p>
    <w:p>
      <w:pPr>
        <w:pStyle w:val="Compact"/>
        <w:numPr>
          <w:ilvl w:val="0"/>
          <w:numId w:val="1004"/>
        </w:numPr>
      </w:pPr>
      <w:r>
        <w:t xml:space="preserve">Documentos bancários e fiscais que comprovem a existência dos bens e valores indicados;</w:t>
      </w:r>
      <w:r>
        <w:br/>
      </w:r>
    </w:p>
    <w:p>
      <w:pPr>
        <w:pStyle w:val="Compact"/>
        <w:numPr>
          <w:ilvl w:val="0"/>
          <w:numId w:val="1004"/>
        </w:numPr>
      </w:pPr>
      <w:r>
        <w:t xml:space="preserve">Certidão de matrícula do imóvel e do veículo;</w:t>
      </w:r>
      <w:r>
        <w:br/>
      </w:r>
    </w:p>
    <w:p>
      <w:pPr>
        <w:pStyle w:val="Compact"/>
        <w:numPr>
          <w:ilvl w:val="0"/>
          <w:numId w:val="1004"/>
        </w:numPr>
      </w:pPr>
      <w:r>
        <w:t xml:space="preserve">Declarações de peritos independentes.</w:t>
      </w:r>
    </w:p>
    <w:p>
      <w:pPr>
        <w:pStyle w:val="FirstParagraph"/>
      </w:pPr>
      <w:r>
        <w:rPr>
          <w:b/>
          <w:bCs/>
        </w:rPr>
        <w:t xml:space="preserve">VI – DO REQUERIMENTO FINAL</w:t>
      </w:r>
    </w:p>
    <w:p>
      <w:pPr>
        <w:pStyle w:val="BodyText"/>
      </w:pPr>
      <w:r>
        <w:t xml:space="preserve">Por ser medida de justiça, e nos termos do disposto no Código de Processo Civil, a requerente pede a V. Exa. que se digne a:</w:t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Deferir o presente requerimento</w:t>
      </w:r>
      <w:r>
        <w:t xml:space="preserve">, determinando a penhora dos bens acima enumerados;</w:t>
      </w:r>
      <w:r>
        <w:br/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Ordenar a prática de todos os atos necessários à efetivação da penhora</w:t>
      </w:r>
      <w:r>
        <w:t xml:space="preserve"> </w:t>
      </w:r>
      <w:r>
        <w:t xml:space="preserve">e à posterior alienação dos bens, caso necessário;</w:t>
      </w:r>
      <w:r>
        <w:br/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Condenar a ré ao pagamento das custas e honorários</w:t>
      </w:r>
      <w:r>
        <w:t xml:space="preserve"> </w:t>
      </w:r>
      <w:r>
        <w:t xml:space="preserve">aqui especificados.</w:t>
      </w:r>
    </w:p>
    <w:p>
      <w:pPr>
        <w:pStyle w:val="FirstParagraph"/>
      </w:pPr>
      <w:r>
        <w:t xml:space="preserve">Termos em que,</w:t>
      </w:r>
      <w:r>
        <w:t xml:space="preserve"> </w:t>
      </w:r>
      <w:r>
        <w:rPr>
          <w:b/>
          <w:bCs/>
        </w:rPr>
        <w:t xml:space="preserve">pede deferimento</w:t>
      </w:r>
      <w:r>
        <w:t xml:space="preserve">.</w:t>
      </w:r>
    </w:p>
    <w:p>
      <w:pPr>
        <w:pStyle w:val="BodyText"/>
      </w:pPr>
      <w:r>
        <w:t xml:space="preserve">Lisboa, 20 de maio de 2024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XYZ – Serviços de Tecnologia, Lda.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t xml:space="preserve">Dr. João Silva – OAB/LI 12 345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t xml:space="preserve">Dra. Maria Fernandes – OAB/PO 67 890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i/>
          <w:iCs/>
        </w:rPr>
        <w:t xml:space="preserve">Documento elaborado por: Escritório de Advocacia Silva &amp; Fernandes, Rua das Flores, 12, 1200‑123 Lisboa, NIF 508 321 654.</w:t>
      </w:r>
    </w:p>
    <w:bookmarkEnd w:id="10"/>
    <w:bookmarkEnd w:id="11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1"/>
  </w:num>
  <w:num w:numId="1005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2026-02-22T18:53:15Z</dcterms:created>
  <dcterms:modified xsi:type="dcterms:W3CDTF">2026-02-22T18:53:15Z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